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eastAsia="仿宋_GB2312"/>
          <w:kern w:val="0"/>
          <w:sz w:val="32"/>
          <w:szCs w:val="32"/>
          <w:lang w:val="en-US" w:eastAsia="zh-CN"/>
        </w:rPr>
      </w:pPr>
      <w:r>
        <w:drawing>
          <wp:anchor distT="0" distB="0" distL="114300" distR="114300" simplePos="0" relativeHeight="251663360" behindDoc="0" locked="0" layoutInCell="1" allowOverlap="1">
            <wp:simplePos x="0" y="0"/>
            <wp:positionH relativeFrom="column">
              <wp:posOffset>140970</wp:posOffset>
            </wp:positionH>
            <wp:positionV relativeFrom="paragraph">
              <wp:posOffset>142875</wp:posOffset>
            </wp:positionV>
            <wp:extent cx="5276850" cy="733425"/>
            <wp:effectExtent l="0" t="0" r="0" b="9525"/>
            <wp:wrapSquare wrapText="bothSides"/>
            <wp:docPr id="1" name="图片 1" descr="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006.jpg"/>
                    <pic:cNvPicPr>
                      <a:picLocks noChangeAspect="1"/>
                    </pic:cNvPicPr>
                  </pic:nvPicPr>
                  <pic:blipFill>
                    <a:blip r:embed="rId7"/>
                    <a:stretch>
                      <a:fillRect/>
                    </a:stretch>
                  </pic:blipFill>
                  <pic:spPr>
                    <a:xfrm>
                      <a:off x="0" y="0"/>
                      <a:ext cx="5276850" cy="733425"/>
                    </a:xfrm>
                    <a:prstGeom prst="rect">
                      <a:avLst/>
                    </a:prstGeom>
                    <a:noFill/>
                    <a:ln w="9525">
                      <a:noFill/>
                    </a:ln>
                  </pic:spPr>
                </pic:pic>
              </a:graphicData>
            </a:graphic>
          </wp:anchor>
        </w:drawing>
      </w:r>
      <w:r>
        <w:rPr>
          <w:rFonts w:hint="eastAsia" w:ascii="仿宋_GB2312" w:eastAsia="仿宋_GB2312"/>
          <w:kern w:val="0"/>
          <w:sz w:val="32"/>
          <w:szCs w:val="32"/>
          <w:lang w:val="en-US" w:eastAsia="zh-CN"/>
        </w:rPr>
        <w:t>莆政教督〔2019〕4号</w:t>
      </w:r>
    </w:p>
    <w:p>
      <w:pPr>
        <w:spacing w:line="660" w:lineRule="exact"/>
        <w:jc w:val="center"/>
        <w:rPr>
          <w:rFonts w:hint="eastAsia" w:ascii="方正小标宋简体" w:hAnsi="宋体" w:eastAsia="方正小标宋简体"/>
          <w:spacing w:val="-10"/>
          <w:sz w:val="40"/>
          <w:szCs w:val="40"/>
          <w:lang w:eastAsia="zh-CN"/>
        </w:rPr>
      </w:pPr>
      <w:r>
        <w:drawing>
          <wp:inline distT="0" distB="0" distL="114300" distR="114300">
            <wp:extent cx="5276850" cy="152400"/>
            <wp:effectExtent l="0" t="0" r="0" b="0"/>
            <wp:docPr id="2" name="图片 2" descr="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006.jpg"/>
                    <pic:cNvPicPr>
                      <a:picLocks noChangeAspect="1"/>
                    </pic:cNvPicPr>
                  </pic:nvPicPr>
                  <pic:blipFill>
                    <a:blip r:embed="rId8"/>
                    <a:stretch>
                      <a:fillRect/>
                    </a:stretch>
                  </pic:blipFill>
                  <pic:spPr>
                    <a:xfrm>
                      <a:off x="0" y="0"/>
                      <a:ext cx="5276850" cy="152400"/>
                    </a:xfrm>
                    <a:prstGeom prst="rect">
                      <a:avLst/>
                    </a:prstGeom>
                    <a:noFill/>
                    <a:ln w="9525">
                      <a:noFill/>
                    </a:ln>
                  </pic:spPr>
                </pic:pic>
              </a:graphicData>
            </a:graphic>
          </wp:inline>
        </w:drawing>
      </w:r>
    </w:p>
    <w:p>
      <w:pPr>
        <w:spacing w:line="660" w:lineRule="exact"/>
        <w:jc w:val="center"/>
        <w:rPr>
          <w:rFonts w:hint="eastAsia" w:ascii="方正小标宋简体" w:hAnsi="宋体" w:eastAsia="方正小标宋简体"/>
          <w:spacing w:val="-10"/>
          <w:sz w:val="40"/>
          <w:szCs w:val="40"/>
          <w:lang w:eastAsia="zh-CN"/>
        </w:rPr>
      </w:pPr>
      <w:r>
        <w:rPr>
          <w:rFonts w:hint="eastAsia" w:ascii="方正小标宋简体" w:hAnsi="宋体" w:eastAsia="方正小标宋简体"/>
          <w:spacing w:val="-10"/>
          <w:sz w:val="40"/>
          <w:szCs w:val="40"/>
          <w:lang w:eastAsia="zh-CN"/>
        </w:rPr>
        <w:t>莆田市人民政府教育督导室关于</w:t>
      </w:r>
    </w:p>
    <w:p>
      <w:pPr>
        <w:spacing w:line="660" w:lineRule="exact"/>
        <w:jc w:val="center"/>
        <w:rPr>
          <w:rFonts w:hint="eastAsia" w:ascii="方正小标宋简体" w:hAnsi="宋体" w:eastAsia="方正小标宋简体"/>
          <w:spacing w:val="-10"/>
          <w:sz w:val="40"/>
          <w:szCs w:val="40"/>
          <w:lang w:val="en-US" w:eastAsia="zh-CN"/>
        </w:rPr>
      </w:pPr>
      <w:r>
        <w:rPr>
          <w:rFonts w:hint="eastAsia" w:ascii="方正小标宋简体" w:hAnsi="宋体" w:eastAsia="方正小标宋简体"/>
          <w:spacing w:val="-10"/>
          <w:sz w:val="40"/>
          <w:szCs w:val="40"/>
          <w:lang w:eastAsia="zh-CN"/>
        </w:rPr>
        <w:t>做好对设区市级人民政府</w:t>
      </w:r>
      <w:r>
        <w:rPr>
          <w:rFonts w:hint="eastAsia" w:ascii="方正小标宋简体" w:hAnsi="宋体" w:eastAsia="方正小标宋简体"/>
          <w:spacing w:val="-10"/>
          <w:sz w:val="40"/>
          <w:szCs w:val="40"/>
          <w:lang w:val="en-US" w:eastAsia="zh-CN"/>
        </w:rPr>
        <w:t>2018年履行</w:t>
      </w:r>
      <w:bookmarkStart w:id="0" w:name="_GoBack"/>
      <w:bookmarkEnd w:id="0"/>
      <w:r>
        <w:rPr>
          <w:rFonts w:hint="eastAsia" w:ascii="方正小标宋简体" w:hAnsi="宋体" w:eastAsia="方正小标宋简体"/>
          <w:spacing w:val="-10"/>
          <w:sz w:val="40"/>
          <w:szCs w:val="40"/>
          <w:lang w:eastAsia="zh-CN"/>
        </w:rPr>
        <w:t>教育职责情况</w:t>
      </w:r>
    </w:p>
    <w:p>
      <w:pPr>
        <w:spacing w:line="660" w:lineRule="exact"/>
        <w:jc w:val="center"/>
        <w:rPr>
          <w:rFonts w:hint="eastAsia" w:ascii="方正小标宋简体" w:hAnsi="宋体" w:eastAsia="方正小标宋简体"/>
          <w:spacing w:val="-10"/>
          <w:sz w:val="40"/>
          <w:szCs w:val="40"/>
          <w:lang w:eastAsia="zh-CN"/>
        </w:rPr>
      </w:pPr>
      <w:r>
        <w:rPr>
          <w:rFonts w:hint="eastAsia" w:ascii="方正小标宋简体" w:hAnsi="宋体" w:eastAsia="方正小标宋简体"/>
          <w:spacing w:val="-10"/>
          <w:sz w:val="40"/>
          <w:szCs w:val="40"/>
          <w:lang w:eastAsia="zh-CN"/>
        </w:rPr>
        <w:t>满意度调查的通知</w:t>
      </w:r>
    </w:p>
    <w:p>
      <w:pPr>
        <w:spacing w:line="660" w:lineRule="exact"/>
        <w:jc w:val="both"/>
        <w:rPr>
          <w:rFonts w:hint="eastAsia" w:ascii="方正小标宋简体" w:hAnsi="宋体" w:eastAsia="方正小标宋简体"/>
          <w:sz w:val="28"/>
          <w:szCs w:val="28"/>
        </w:rPr>
      </w:pP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kern w:val="0"/>
          <w:sz w:val="32"/>
          <w:szCs w:val="32"/>
        </w:rPr>
      </w:pPr>
      <w:r>
        <w:rPr>
          <w:rFonts w:hint="eastAsia" w:ascii="仿宋_GB2312" w:eastAsia="仿宋_GB2312"/>
          <w:kern w:val="0"/>
          <w:sz w:val="32"/>
          <w:szCs w:val="32"/>
          <w:lang w:val="en-US" w:eastAsia="zh-CN"/>
        </w:rPr>
        <w:t>各县（区）人民政府（管委会）,莆田学院、湄洲湾职业技术学院,市直各学校</w:t>
      </w:r>
      <w:r>
        <w:rPr>
          <w:rFonts w:hint="eastAsia" w:ascii="仿宋_GB2312" w:eastAsia="仿宋_GB2312"/>
          <w:kern w:val="0"/>
          <w:sz w:val="32"/>
          <w:szCs w:val="32"/>
        </w:rPr>
        <w:t>：</w:t>
      </w:r>
    </w:p>
    <w:p>
      <w:pPr>
        <w:spacing w:line="660" w:lineRule="exact"/>
        <w:ind w:firstLine="640" w:firstLineChars="200"/>
        <w:jc w:val="left"/>
        <w:rPr>
          <w:rFonts w:hint="default" w:ascii="仿宋_GB2312" w:eastAsia="仿宋_GB2312"/>
          <w:kern w:val="0"/>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pacing w:val="-10"/>
          <w:sz w:val="32"/>
          <w:szCs w:val="32"/>
          <w:lang w:eastAsia="zh-CN"/>
        </w:rPr>
        <w:t>福建省人民政府教育督导办公室《关于开展对设区市级人民政府</w:t>
      </w:r>
      <w:r>
        <w:rPr>
          <w:rFonts w:hint="eastAsia" w:ascii="仿宋_GB2312" w:hAnsi="仿宋_GB2312" w:eastAsia="仿宋_GB2312" w:cs="仿宋_GB2312"/>
          <w:spacing w:val="-10"/>
          <w:sz w:val="32"/>
          <w:szCs w:val="32"/>
          <w:lang w:val="en-US" w:eastAsia="zh-CN"/>
        </w:rPr>
        <w:t>2018年履行</w:t>
      </w:r>
      <w:r>
        <w:rPr>
          <w:rFonts w:hint="eastAsia" w:ascii="仿宋_GB2312" w:hAnsi="仿宋_GB2312" w:eastAsia="仿宋_GB2312" w:cs="仿宋_GB2312"/>
          <w:spacing w:val="-10"/>
          <w:sz w:val="32"/>
          <w:szCs w:val="32"/>
          <w:lang w:eastAsia="zh-CN"/>
        </w:rPr>
        <w:t>教育职责情况满意度调查的通知》（</w:t>
      </w:r>
      <w:r>
        <w:rPr>
          <w:rFonts w:hint="eastAsia" w:ascii="仿宋_GB2312" w:hAnsi="仿宋_GB2312" w:eastAsia="仿宋_GB2312" w:cs="仿宋_GB2312"/>
          <w:spacing w:val="-10"/>
          <w:sz w:val="32"/>
          <w:szCs w:val="32"/>
          <w:lang w:val="en-US" w:eastAsia="zh-CN"/>
        </w:rPr>
        <w:t>闽政教督办〔2019〕43号</w:t>
      </w:r>
      <w:r>
        <w:rPr>
          <w:rFonts w:hint="eastAsia" w:ascii="仿宋_GB2312" w:hAnsi="仿宋_GB2312" w:eastAsia="仿宋_GB2312" w:cs="仿宋_GB2312"/>
          <w:spacing w:val="-10"/>
          <w:sz w:val="32"/>
          <w:szCs w:val="32"/>
          <w:lang w:eastAsia="zh-CN"/>
        </w:rPr>
        <w:t>）要求，省政府教育督导办公室依据</w:t>
      </w:r>
      <w:r>
        <w:rPr>
          <w:rFonts w:hint="eastAsia" w:ascii="仿宋_GB2312" w:hAnsi="仿宋_GB2312" w:eastAsia="仿宋_GB2312" w:cs="仿宋_GB2312"/>
          <w:sz w:val="32"/>
          <w:szCs w:val="32"/>
        </w:rPr>
        <w:t>福建省人民政府办公厅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关于印发对设区市级人民政府履行教育职责督导评估办法的通知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闽政办〔2018〕2号</w:t>
      </w:r>
      <w:r>
        <w:rPr>
          <w:rFonts w:hint="eastAsia" w:ascii="仿宋_GB2312" w:hAnsi="仿宋_GB2312" w:eastAsia="仿宋_GB2312" w:cs="仿宋_GB2312"/>
          <w:sz w:val="32"/>
          <w:szCs w:val="32"/>
          <w:lang w:eastAsia="zh-CN"/>
        </w:rPr>
        <w:t>，以下简称《对市督导办法》）、福建省人民政府教育督导办公室《关于印发对设区市级人民政府履行教育职责督导评估标准的通知》（</w:t>
      </w:r>
      <w:r>
        <w:rPr>
          <w:rFonts w:hint="eastAsia" w:ascii="仿宋_GB2312" w:hAnsi="仿宋_GB2312" w:eastAsia="仿宋_GB2312" w:cs="仿宋_GB2312"/>
          <w:sz w:val="32"/>
          <w:szCs w:val="32"/>
        </w:rPr>
        <w:t>闽政</w:t>
      </w:r>
      <w:r>
        <w:rPr>
          <w:rFonts w:hint="eastAsia" w:ascii="仿宋_GB2312" w:hAnsi="仿宋_GB2312" w:eastAsia="仿宋_GB2312" w:cs="仿宋_GB2312"/>
          <w:sz w:val="32"/>
          <w:szCs w:val="32"/>
          <w:lang w:eastAsia="zh-CN"/>
        </w:rPr>
        <w:t>教督</w:t>
      </w:r>
      <w:r>
        <w:rPr>
          <w:rFonts w:hint="eastAsia" w:ascii="仿宋_GB2312" w:hAnsi="仿宋_GB2312" w:eastAsia="仿宋_GB2312" w:cs="仿宋_GB2312"/>
          <w:sz w:val="32"/>
          <w:szCs w:val="32"/>
        </w:rPr>
        <w:t>办〔2018〕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2号</w:t>
      </w:r>
      <w:r>
        <w:rPr>
          <w:rFonts w:hint="eastAsia" w:ascii="仿宋_GB2312" w:hAnsi="仿宋_GB2312" w:eastAsia="仿宋_GB2312" w:cs="仿宋_GB2312"/>
          <w:sz w:val="32"/>
          <w:szCs w:val="32"/>
          <w:lang w:eastAsia="zh-CN"/>
        </w:rPr>
        <w:t>，以下简称《对市督导标准》）精神，</w:t>
      </w:r>
      <w:r>
        <w:rPr>
          <w:rFonts w:hint="eastAsia" w:ascii="仿宋_GB2312" w:eastAsia="仿宋_GB2312"/>
          <w:kern w:val="0"/>
          <w:sz w:val="32"/>
          <w:szCs w:val="32"/>
          <w:lang w:eastAsia="zh-CN"/>
        </w:rPr>
        <w:t>将于</w:t>
      </w:r>
      <w:r>
        <w:rPr>
          <w:rFonts w:hint="eastAsia" w:ascii="仿宋_GB2312" w:eastAsia="仿宋_GB2312"/>
          <w:kern w:val="0"/>
          <w:sz w:val="32"/>
          <w:szCs w:val="32"/>
          <w:lang w:val="en-US" w:eastAsia="zh-CN"/>
        </w:rPr>
        <w:t>2019年6月5日至20日开展对我市人民政府履行教育职责情况的满意度调查。现将有关事项通知如下：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kern w:val="0"/>
          <w:sz w:val="32"/>
          <w:szCs w:val="32"/>
        </w:rPr>
      </w:pPr>
      <w:r>
        <w:rPr>
          <w:rFonts w:hint="eastAsia" w:ascii="黑体" w:hAnsi="黑体" w:eastAsia="黑体"/>
          <w:kern w:val="0"/>
          <w:sz w:val="32"/>
          <w:szCs w:val="32"/>
        </w:rPr>
        <w:t>一、调查内容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问卷调查内容主要聚焦设区市级人民政府及有关职能部门履行教育职责情况，包括贯彻执行党的教育方针情况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落实教育法律、法规、规章和政策情况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各级各类教育发展情况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统筹推进教育工作情况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加强教育保障情况和学校规范办学行为情况。</w:t>
      </w:r>
      <w:r>
        <w:rPr>
          <w:rFonts w:hint="eastAsia" w:ascii="仿宋_GB2312" w:hAnsi="仿宋_GB2312" w:eastAsia="仿宋_GB2312" w:cs="仿宋_GB2312"/>
          <w:sz w:val="32"/>
          <w:szCs w:val="32"/>
          <w:lang w:val="en-US" w:eastAsia="zh-CN"/>
        </w:rPr>
        <w:t>各类问卷的内容根据调查重点的不同各有所侧重。每份问卷由填答人基本情况和调查主要内容两部分组成。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kern w:val="0"/>
          <w:sz w:val="32"/>
          <w:szCs w:val="32"/>
          <w:lang w:eastAsia="zh-CN"/>
        </w:rPr>
      </w:pPr>
      <w:r>
        <w:rPr>
          <w:rFonts w:hint="eastAsia" w:ascii="黑体" w:hAnsi="黑体" w:eastAsia="黑体"/>
          <w:kern w:val="0"/>
          <w:sz w:val="32"/>
          <w:szCs w:val="32"/>
          <w:lang w:eastAsia="zh-CN"/>
        </w:rPr>
        <w:t>二</w:t>
      </w:r>
      <w:r>
        <w:rPr>
          <w:rFonts w:hint="eastAsia" w:ascii="黑体" w:hAnsi="黑体" w:eastAsia="黑体"/>
          <w:kern w:val="0"/>
          <w:sz w:val="32"/>
          <w:szCs w:val="32"/>
        </w:rPr>
        <w:t>、调查</w:t>
      </w:r>
      <w:r>
        <w:rPr>
          <w:rFonts w:hint="eastAsia" w:ascii="黑体" w:hAnsi="黑体" w:eastAsia="黑体"/>
          <w:kern w:val="0"/>
          <w:sz w:val="32"/>
          <w:szCs w:val="32"/>
          <w:lang w:eastAsia="zh-CN"/>
        </w:rPr>
        <w:t>对象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调查对象涉及3类人群：社会公众（公众问卷）、在职教师（教师问卷）和在校学生（学生问卷）。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三、具体实施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b/>
          <w:bCs/>
          <w:kern w:val="0"/>
          <w:sz w:val="32"/>
          <w:szCs w:val="32"/>
          <w:lang w:val="en-US" w:eastAsia="zh-CN"/>
        </w:rPr>
        <w:t>1.问卷发放。</w:t>
      </w:r>
      <w:r>
        <w:rPr>
          <w:rFonts w:hint="eastAsia" w:ascii="仿宋_GB2312" w:eastAsia="仿宋_GB2312"/>
          <w:kern w:val="0"/>
          <w:sz w:val="32"/>
          <w:szCs w:val="32"/>
          <w:lang w:val="en-US" w:eastAsia="zh-CN"/>
        </w:rPr>
        <w:t>答题二维码放在我市级政府官方网站，被调查者扫码“省对市级人民政府履行教育职责情况满意度调查”进入问卷。网址：</w:t>
      </w:r>
      <w:r>
        <w:rPr>
          <w:rFonts w:hint="eastAsia" w:ascii="仿宋_GB2312" w:eastAsia="仿宋_GB2312"/>
          <w:kern w:val="0"/>
          <w:sz w:val="32"/>
          <w:szCs w:val="32"/>
          <w:lang w:val="en-US" w:eastAsia="zh-CN"/>
        </w:rPr>
        <w:fldChar w:fldCharType="begin"/>
      </w:r>
      <w:r>
        <w:rPr>
          <w:rFonts w:hint="eastAsia" w:ascii="仿宋_GB2312" w:eastAsia="仿宋_GB2312"/>
          <w:kern w:val="0"/>
          <w:sz w:val="32"/>
          <w:szCs w:val="32"/>
          <w:lang w:val="en-US" w:eastAsia="zh-CN"/>
        </w:rPr>
        <w:instrText xml:space="preserve"> HYPERLINK "http://www.putian.gov.cn/" </w:instrText>
      </w:r>
      <w:r>
        <w:rPr>
          <w:rFonts w:hint="eastAsia" w:ascii="仿宋_GB2312" w:eastAsia="仿宋_GB2312"/>
          <w:kern w:val="0"/>
          <w:sz w:val="32"/>
          <w:szCs w:val="32"/>
          <w:lang w:val="en-US" w:eastAsia="zh-CN"/>
        </w:rPr>
        <w:fldChar w:fldCharType="separate"/>
      </w:r>
      <w:r>
        <w:rPr>
          <w:rStyle w:val="6"/>
          <w:rFonts w:hint="eastAsia" w:ascii="仿宋_GB2312" w:eastAsia="仿宋_GB2312"/>
          <w:kern w:val="0"/>
          <w:sz w:val="32"/>
          <w:szCs w:val="32"/>
          <w:lang w:val="en-US" w:eastAsia="zh-CN"/>
        </w:rPr>
        <w:t>http://www.putian.gov.cn/</w:t>
      </w:r>
      <w:r>
        <w:rPr>
          <w:rFonts w:hint="eastAsia" w:ascii="仿宋_GB2312" w:eastAsia="仿宋_GB2312"/>
          <w:kern w:val="0"/>
          <w:sz w:val="32"/>
          <w:szCs w:val="32"/>
          <w:lang w:val="en-US" w:eastAsia="zh-CN"/>
        </w:rPr>
        <w:fldChar w:fldCharType="end"/>
      </w:r>
      <w:r>
        <w:rPr>
          <w:rFonts w:hint="eastAsia" w:ascii="仿宋_GB2312" w:eastAsia="仿宋_GB2312"/>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b/>
          <w:bCs/>
          <w:kern w:val="0"/>
          <w:sz w:val="32"/>
          <w:szCs w:val="32"/>
          <w:lang w:val="en-US" w:eastAsia="zh-CN"/>
        </w:rPr>
        <w:t>2.问卷分配。</w:t>
      </w:r>
      <w:r>
        <w:rPr>
          <w:rFonts w:hint="eastAsia" w:ascii="仿宋_GB2312" w:eastAsia="仿宋_GB2312"/>
          <w:kern w:val="0"/>
          <w:sz w:val="32"/>
          <w:szCs w:val="32"/>
          <w:lang w:val="en-US" w:eastAsia="zh-CN"/>
        </w:rPr>
        <w:t>填答人扫描二维码进入问卷后，先填写基本情况栏，系统根据被调查者填写的职业分配问卷。除勾选“教师”“学生”以外的其他填答人，均使用公众问卷。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b/>
          <w:bCs/>
          <w:kern w:val="0"/>
          <w:sz w:val="32"/>
          <w:szCs w:val="32"/>
          <w:lang w:val="en-US" w:eastAsia="zh-CN"/>
        </w:rPr>
        <w:t>3.问卷回收。</w:t>
      </w:r>
      <w:r>
        <w:rPr>
          <w:rFonts w:hint="eastAsia" w:ascii="仿宋_GB2312" w:eastAsia="仿宋_GB2312"/>
          <w:kern w:val="0"/>
          <w:sz w:val="32"/>
          <w:szCs w:val="32"/>
          <w:lang w:val="en-US" w:eastAsia="zh-CN"/>
        </w:rPr>
        <w:t>填答人提交问卷后，将自动上传至系统后台，以保证调查过程公正、问卷结果保密。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四、有关要求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b/>
          <w:bCs/>
          <w:kern w:val="0"/>
          <w:sz w:val="32"/>
          <w:szCs w:val="32"/>
          <w:lang w:val="en-US" w:eastAsia="zh-CN"/>
        </w:rPr>
        <w:t>1.尽快组织实施。</w:t>
      </w:r>
      <w:r>
        <w:rPr>
          <w:rFonts w:hint="eastAsia" w:ascii="仿宋_GB2312" w:eastAsia="仿宋_GB2312"/>
          <w:kern w:val="0"/>
          <w:sz w:val="32"/>
          <w:szCs w:val="32"/>
          <w:lang w:val="en-US" w:eastAsia="zh-CN"/>
        </w:rPr>
        <w:t>请认真组织，抓紧落实，确保于6月18日前组织本区域内进行满意度调查。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b/>
          <w:bCs/>
          <w:kern w:val="0"/>
          <w:sz w:val="32"/>
          <w:szCs w:val="32"/>
          <w:lang w:val="en-US" w:eastAsia="zh-CN"/>
        </w:rPr>
        <w:t>2.扩大调查覆盖面。</w:t>
      </w:r>
      <w:r>
        <w:rPr>
          <w:rFonts w:hint="eastAsia" w:ascii="仿宋_GB2312" w:eastAsia="仿宋_GB2312"/>
          <w:kern w:val="0"/>
          <w:sz w:val="32"/>
          <w:szCs w:val="32"/>
          <w:lang w:val="en-US" w:eastAsia="zh-CN"/>
        </w:rPr>
        <w:t>要充分考虑本区域内学校分布、社会人群行业分布等因素，尽可能扩大调查覆盖面和回复率。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w:t>
      </w:r>
      <w:r>
        <w:rPr>
          <w:rFonts w:hint="eastAsia" w:ascii="仿宋_GB2312" w:eastAsia="仿宋_GB2312"/>
          <w:b/>
          <w:bCs/>
          <w:kern w:val="0"/>
          <w:sz w:val="32"/>
          <w:szCs w:val="32"/>
          <w:lang w:val="en-US" w:eastAsia="zh-CN"/>
        </w:rPr>
        <w:t>教师。</w:t>
      </w:r>
      <w:r>
        <w:rPr>
          <w:rFonts w:hint="eastAsia" w:ascii="仿宋_GB2312" w:eastAsia="仿宋_GB2312"/>
          <w:kern w:val="0"/>
          <w:sz w:val="32"/>
          <w:szCs w:val="32"/>
          <w:lang w:val="en-US" w:eastAsia="zh-CN"/>
        </w:rPr>
        <w:t>包括各级各类学校的在校教师，参与率在12%以上。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w:t>
      </w:r>
      <w:r>
        <w:rPr>
          <w:rFonts w:hint="eastAsia" w:ascii="仿宋_GB2312" w:eastAsia="仿宋_GB2312"/>
          <w:b/>
          <w:bCs/>
          <w:kern w:val="0"/>
          <w:sz w:val="32"/>
          <w:szCs w:val="32"/>
          <w:lang w:val="en-US" w:eastAsia="zh-CN"/>
        </w:rPr>
        <w:t>学生。</w:t>
      </w:r>
      <w:r>
        <w:rPr>
          <w:rFonts w:hint="eastAsia" w:ascii="仿宋_GB2312" w:eastAsia="仿宋_GB2312"/>
          <w:kern w:val="0"/>
          <w:sz w:val="32"/>
          <w:szCs w:val="32"/>
          <w:lang w:val="en-US" w:eastAsia="zh-CN"/>
        </w:rPr>
        <w:t>包含各级各类学校（幼儿园、小学除外）在校学生，参与率在6%以上。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w:t>
      </w:r>
      <w:r>
        <w:rPr>
          <w:rFonts w:hint="eastAsia" w:ascii="仿宋_GB2312" w:eastAsia="仿宋_GB2312"/>
          <w:b/>
          <w:bCs/>
          <w:kern w:val="0"/>
          <w:sz w:val="32"/>
          <w:szCs w:val="32"/>
          <w:lang w:val="en-US" w:eastAsia="zh-CN"/>
        </w:rPr>
        <w:t>社会公众。</w:t>
      </w:r>
      <w:r>
        <w:rPr>
          <w:rFonts w:hint="eastAsia" w:ascii="仿宋_GB2312" w:eastAsia="仿宋_GB2312"/>
          <w:kern w:val="0"/>
          <w:sz w:val="32"/>
          <w:szCs w:val="32"/>
          <w:lang w:val="en-US" w:eastAsia="zh-CN"/>
        </w:rPr>
        <w:t>每个县（市、区）的样本量至少为400人。其中2019年将要进行“两项督导”的涵江区和北岸开发区样本量至少为1800人。</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莆田学院、湄洲湾职业技术学院按比例完成教师和学生的满意度调查。市直各学校按属地管理，接受所在县区（管委会）教育局的统一安排。</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b/>
          <w:bCs/>
          <w:kern w:val="0"/>
          <w:sz w:val="32"/>
          <w:szCs w:val="32"/>
          <w:lang w:val="en-US" w:eastAsia="zh-CN"/>
        </w:rPr>
        <w:t>3.坚持实事求是。</w:t>
      </w:r>
      <w:r>
        <w:rPr>
          <w:rFonts w:hint="eastAsia" w:ascii="仿宋_GB2312" w:eastAsia="仿宋_GB2312"/>
          <w:kern w:val="0"/>
          <w:sz w:val="32"/>
          <w:szCs w:val="32"/>
          <w:lang w:val="en-US" w:eastAsia="zh-CN"/>
        </w:rPr>
        <w:t>要严明工作纪律，提高调查实效，杜绝在组织过程中弄虚作假，确保调查结果客观公正。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联系人：陈 銮，联系电话0594--2684663。</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附件： 各县区（管委会）教职工总数、中学中职学生数</w:t>
      </w:r>
    </w:p>
    <w:p>
      <w:pPr>
        <w:keepNext w:val="0"/>
        <w:keepLines w:val="0"/>
        <w:pageBreakBefore w:val="0"/>
        <w:widowControl/>
        <w:kinsoku/>
        <w:overflowPunct/>
        <w:topLinePunct w:val="0"/>
        <w:autoSpaceDE/>
        <w:autoSpaceDN/>
        <w:bidi w:val="0"/>
        <w:adjustRightInd/>
        <w:snapToGrid/>
        <w:spacing w:line="600" w:lineRule="exact"/>
        <w:ind w:right="640" w:firstLine="3520" w:firstLineChars="1100"/>
        <w:jc w:val="right"/>
        <w:textAlignment w:val="auto"/>
        <w:rPr>
          <w:rFonts w:hint="eastAsia" w:ascii="仿宋_GB2312" w:eastAsia="仿宋_GB2312"/>
          <w:kern w:val="0"/>
          <w:sz w:val="32"/>
          <w:szCs w:val="32"/>
          <w:lang w:eastAsia="zh-CN"/>
        </w:rPr>
      </w:pPr>
    </w:p>
    <w:p>
      <w:pPr>
        <w:keepNext w:val="0"/>
        <w:keepLines w:val="0"/>
        <w:pageBreakBefore w:val="0"/>
        <w:widowControl/>
        <w:kinsoku/>
        <w:overflowPunct/>
        <w:topLinePunct w:val="0"/>
        <w:autoSpaceDE/>
        <w:autoSpaceDN/>
        <w:bidi w:val="0"/>
        <w:adjustRightInd/>
        <w:snapToGrid/>
        <w:spacing w:line="600" w:lineRule="exact"/>
        <w:ind w:right="640" w:firstLine="3520" w:firstLineChars="1100"/>
        <w:jc w:val="right"/>
        <w:textAlignment w:val="auto"/>
        <w:rPr>
          <w:rFonts w:hint="eastAsia" w:eastAsia="仿宋_GB2312"/>
          <w:kern w:val="0"/>
          <w:szCs w:val="21"/>
          <w:lang w:eastAsia="zh-CN"/>
        </w:rPr>
      </w:pPr>
      <w:r>
        <w:rPr>
          <w:rFonts w:hint="eastAsia" w:ascii="仿宋_GB2312" w:eastAsia="仿宋_GB2312"/>
          <w:kern w:val="0"/>
          <w:sz w:val="32"/>
          <w:szCs w:val="32"/>
          <w:lang w:eastAsia="zh-CN"/>
        </w:rPr>
        <w:t>莆田市人民政府</w:t>
      </w:r>
      <w:r>
        <w:rPr>
          <w:rFonts w:hint="eastAsia" w:ascii="仿宋_GB2312" w:eastAsia="仿宋_GB2312"/>
          <w:kern w:val="0"/>
          <w:sz w:val="32"/>
          <w:szCs w:val="32"/>
        </w:rPr>
        <w:t>教育</w:t>
      </w:r>
      <w:r>
        <w:rPr>
          <w:rFonts w:hint="eastAsia" w:ascii="仿宋_GB2312" w:eastAsia="仿宋_GB2312"/>
          <w:kern w:val="0"/>
          <w:sz w:val="32"/>
          <w:szCs w:val="32"/>
          <w:lang w:eastAsia="zh-CN"/>
        </w:rPr>
        <w:t>督导室</w:t>
      </w:r>
    </w:p>
    <w:p>
      <w:pPr>
        <w:keepNext w:val="0"/>
        <w:keepLines w:val="0"/>
        <w:pageBreakBefore w:val="0"/>
        <w:widowControl/>
        <w:kinsoku/>
        <w:wordWrap w:val="0"/>
        <w:overflowPunct/>
        <w:topLinePunct w:val="0"/>
        <w:autoSpaceDE/>
        <w:autoSpaceDN/>
        <w:bidi w:val="0"/>
        <w:adjustRightInd/>
        <w:snapToGrid/>
        <w:spacing w:line="600" w:lineRule="exact"/>
        <w:ind w:right="1050"/>
        <w:jc w:val="right"/>
        <w:textAlignment w:val="auto"/>
        <w:rPr>
          <w:rFonts w:hint="default" w:ascii="宋体" w:hAnsi="宋体" w:eastAsia="仿宋_GB2312" w:cs="宋体"/>
          <w:kern w:val="0"/>
          <w:sz w:val="24"/>
          <w:szCs w:val="24"/>
          <w:lang w:val="en-US" w:eastAsia="zh-CN"/>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201</w:t>
      </w:r>
      <w:r>
        <w:rPr>
          <w:rFonts w:hint="eastAsia" w:ascii="仿宋_GB2312" w:eastAsia="仿宋_GB2312"/>
          <w:kern w:val="0"/>
          <w:sz w:val="32"/>
          <w:szCs w:val="32"/>
          <w:lang w:val="en-US" w:eastAsia="zh-CN"/>
        </w:rPr>
        <w:t>9</w:t>
      </w:r>
      <w:r>
        <w:rPr>
          <w:rFonts w:hint="eastAsia" w:ascii="仿宋_GB2312" w:eastAsia="仿宋_GB2312"/>
          <w:kern w:val="0"/>
          <w:sz w:val="32"/>
          <w:szCs w:val="32"/>
        </w:rPr>
        <w:t>年</w:t>
      </w:r>
      <w:r>
        <w:rPr>
          <w:rFonts w:hint="eastAsia" w:ascii="仿宋_GB2312" w:eastAsia="仿宋_GB2312"/>
          <w:kern w:val="0"/>
          <w:sz w:val="32"/>
          <w:szCs w:val="32"/>
          <w:lang w:val="en-US" w:eastAsia="zh-CN"/>
        </w:rPr>
        <w:t>6</w:t>
      </w:r>
      <w:r>
        <w:rPr>
          <w:rFonts w:hint="eastAsia" w:ascii="仿宋_GB2312" w:eastAsia="仿宋_GB2312"/>
          <w:kern w:val="0"/>
          <w:sz w:val="32"/>
          <w:szCs w:val="32"/>
        </w:rPr>
        <w:t>月</w:t>
      </w:r>
      <w:r>
        <w:rPr>
          <w:rFonts w:hint="eastAsia" w:ascii="仿宋_GB2312" w:eastAsia="仿宋_GB2312"/>
          <w:kern w:val="0"/>
          <w:sz w:val="32"/>
          <w:szCs w:val="32"/>
          <w:lang w:val="en-US" w:eastAsia="zh-CN"/>
        </w:rPr>
        <w:t>10</w:t>
      </w:r>
      <w:r>
        <w:rPr>
          <w:rFonts w:hint="eastAsia" w:ascii="仿宋_GB2312" w:eastAsia="仿宋_GB2312"/>
          <w:kern w:val="0"/>
          <w:sz w:val="32"/>
          <w:szCs w:val="32"/>
        </w:rPr>
        <w:t>日</w:t>
      </w:r>
      <w:r>
        <w:rPr>
          <w:rFonts w:hint="eastAsia" w:ascii="仿宋_GB2312" w:eastAsia="仿宋_GB2312"/>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420" w:left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p>
    <w:p>
      <w:pPr>
        <w:keepNext w:val="0"/>
        <w:keepLines w:val="0"/>
        <w:pageBreakBefore w:val="0"/>
        <w:kinsoku/>
        <w:wordWrap/>
        <w:overflowPunct/>
        <w:topLinePunct w:val="0"/>
        <w:autoSpaceDE/>
        <w:autoSpaceDN/>
        <w:bidi w:val="0"/>
        <w:adjustRightInd/>
        <w:snapToGrid/>
        <w:spacing w:line="560" w:lineRule="exact"/>
        <w:ind w:left="420" w:leftChars="200"/>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各县区（管委会）教职工总数、中学中职学生总数</w:t>
      </w:r>
    </w:p>
    <w:tbl>
      <w:tblPr>
        <w:tblStyle w:val="4"/>
        <w:tblpPr w:leftFromText="180" w:rightFromText="180" w:vertAnchor="text" w:horzAnchor="page" w:tblpX="1887" w:tblpY="371"/>
        <w:tblOverlap w:val="never"/>
        <w:tblW w:w="8640" w:type="dxa"/>
        <w:tblInd w:w="0" w:type="dxa"/>
        <w:shd w:val="clear" w:color="auto" w:fill="auto"/>
        <w:tblLayout w:type="fixed"/>
        <w:tblCellMar>
          <w:top w:w="0" w:type="dxa"/>
          <w:left w:w="0" w:type="dxa"/>
          <w:bottom w:w="0" w:type="dxa"/>
          <w:right w:w="0" w:type="dxa"/>
        </w:tblCellMar>
      </w:tblPr>
      <w:tblGrid>
        <w:gridCol w:w="2415"/>
        <w:gridCol w:w="3060"/>
        <w:gridCol w:w="3165"/>
      </w:tblGrid>
      <w:tr>
        <w:tblPrEx>
          <w:shd w:val="clear" w:color="auto" w:fill="auto"/>
          <w:tblLayout w:type="fixed"/>
          <w:tblCellMar>
            <w:top w:w="0" w:type="dxa"/>
            <w:left w:w="0" w:type="dxa"/>
            <w:bottom w:w="0" w:type="dxa"/>
            <w:right w:w="0" w:type="dxa"/>
          </w:tblCellMar>
        </w:tblPrEx>
        <w:trPr>
          <w:trHeight w:val="900" w:hRule="atLeast"/>
        </w:trPr>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县区名称</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教职工</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学生数（中学、中职）</w:t>
            </w:r>
          </w:p>
        </w:tc>
      </w:tr>
      <w:tr>
        <w:tblPrEx>
          <w:tblLayout w:type="fixed"/>
          <w:tblCellMar>
            <w:top w:w="0" w:type="dxa"/>
            <w:left w:w="0" w:type="dxa"/>
            <w:bottom w:w="0" w:type="dxa"/>
            <w:right w:w="0" w:type="dxa"/>
          </w:tblCellMar>
        </w:tblPrEx>
        <w:trPr>
          <w:trHeight w:val="900" w:hRule="atLeast"/>
        </w:trPr>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仙游县</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59462</w:t>
            </w:r>
          </w:p>
        </w:tc>
      </w:tr>
      <w:tr>
        <w:tblPrEx>
          <w:tblLayout w:type="fixed"/>
          <w:tblCellMar>
            <w:top w:w="0" w:type="dxa"/>
            <w:left w:w="0" w:type="dxa"/>
            <w:bottom w:w="0" w:type="dxa"/>
            <w:right w:w="0" w:type="dxa"/>
          </w:tblCellMar>
        </w:tblPrEx>
        <w:trPr>
          <w:trHeight w:val="900" w:hRule="atLeast"/>
        </w:trPr>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荔城区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42811</w:t>
            </w:r>
          </w:p>
        </w:tc>
      </w:tr>
      <w:tr>
        <w:tblPrEx>
          <w:tblLayout w:type="fixed"/>
          <w:tblCellMar>
            <w:top w:w="0" w:type="dxa"/>
            <w:left w:w="0" w:type="dxa"/>
            <w:bottom w:w="0" w:type="dxa"/>
            <w:right w:w="0" w:type="dxa"/>
          </w:tblCellMar>
        </w:tblPrEx>
        <w:trPr>
          <w:trHeight w:val="900" w:hRule="atLeast"/>
        </w:trPr>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城厢区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7066</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34545</w:t>
            </w:r>
          </w:p>
        </w:tc>
      </w:tr>
      <w:tr>
        <w:tblPrEx>
          <w:tblLayout w:type="fixed"/>
          <w:tblCellMar>
            <w:top w:w="0" w:type="dxa"/>
            <w:left w:w="0" w:type="dxa"/>
            <w:bottom w:w="0" w:type="dxa"/>
            <w:right w:w="0" w:type="dxa"/>
          </w:tblCellMar>
        </w:tblPrEx>
        <w:trPr>
          <w:trHeight w:val="900" w:hRule="atLeast"/>
        </w:trPr>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涵江区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5520</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23924</w:t>
            </w:r>
          </w:p>
        </w:tc>
      </w:tr>
      <w:tr>
        <w:tblPrEx>
          <w:tblLayout w:type="fixed"/>
          <w:tblCellMar>
            <w:top w:w="0" w:type="dxa"/>
            <w:left w:w="0" w:type="dxa"/>
            <w:bottom w:w="0" w:type="dxa"/>
            <w:right w:w="0" w:type="dxa"/>
          </w:tblCellMar>
        </w:tblPrEx>
        <w:trPr>
          <w:trHeight w:val="900" w:hRule="atLeast"/>
        </w:trPr>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秀屿区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28256</w:t>
            </w:r>
          </w:p>
        </w:tc>
      </w:tr>
      <w:tr>
        <w:tblPrEx>
          <w:tblLayout w:type="fixed"/>
          <w:tblCellMar>
            <w:top w:w="0" w:type="dxa"/>
            <w:left w:w="0" w:type="dxa"/>
            <w:bottom w:w="0" w:type="dxa"/>
            <w:right w:w="0" w:type="dxa"/>
          </w:tblCellMar>
        </w:tblPrEx>
        <w:trPr>
          <w:trHeight w:val="900" w:hRule="atLeast"/>
        </w:trPr>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湄洲岛</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2234</w:t>
            </w:r>
          </w:p>
        </w:tc>
      </w:tr>
      <w:tr>
        <w:tblPrEx>
          <w:tblLayout w:type="fixed"/>
          <w:tblCellMar>
            <w:top w:w="0" w:type="dxa"/>
            <w:left w:w="0" w:type="dxa"/>
            <w:bottom w:w="0" w:type="dxa"/>
            <w:right w:w="0" w:type="dxa"/>
          </w:tblCellMar>
        </w:tblPrEx>
        <w:trPr>
          <w:trHeight w:val="900" w:hRule="atLeast"/>
        </w:trPr>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4555</w:t>
            </w:r>
          </w:p>
        </w:tc>
      </w:tr>
    </w:tbl>
    <w:p>
      <w:pPr>
        <w:keepNext w:val="0"/>
        <w:keepLines w:val="0"/>
        <w:pageBreakBefore w:val="0"/>
        <w:kinsoku/>
        <w:wordWrap/>
        <w:overflowPunct/>
        <w:topLinePunct w:val="0"/>
        <w:autoSpaceDE/>
        <w:autoSpaceDN/>
        <w:bidi w:val="0"/>
        <w:adjustRightInd/>
        <w:snapToGrid/>
        <w:spacing w:line="560" w:lineRule="exact"/>
        <w:ind w:left="420" w:leftChars="200"/>
        <w:textAlignment w:val="auto"/>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420" w:leftChars="200"/>
        <w:textAlignment w:val="auto"/>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420" w:leftChars="200"/>
        <w:textAlignment w:val="auto"/>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420" w:leftChars="200"/>
        <w:textAlignment w:val="auto"/>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420" w:left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（此件依申请公开）</w:t>
      </w:r>
    </w:p>
    <w:p>
      <w:pPr>
        <w:keepNext w:val="0"/>
        <w:keepLines w:val="0"/>
        <w:pageBreakBefore w:val="0"/>
        <w:kinsoku/>
        <w:wordWrap/>
        <w:overflowPunct/>
        <w:topLinePunct w:val="0"/>
        <w:autoSpaceDE/>
        <w:autoSpaceDN/>
        <w:bidi w:val="0"/>
        <w:adjustRightInd/>
        <w:snapToGrid/>
        <w:spacing w:line="560" w:lineRule="exact"/>
        <w:ind w:left="420" w:leftChars="200"/>
        <w:textAlignment w:val="auto"/>
        <w:rPr>
          <w:rFonts w:hint="eastAsia" w:ascii="仿宋_GB2312" w:hAnsi="仿宋_GB2312" w:eastAsia="仿宋_GB2312" w:cs="仿宋_GB2312"/>
          <w:sz w:val="30"/>
          <w:szCs w:val="30"/>
        </w:rPr>
      </w:pPr>
    </w:p>
    <w:p>
      <w:pPr>
        <w:snapToGrid w:val="0"/>
        <w:spacing w:line="480" w:lineRule="exact"/>
        <w:ind w:firstLine="268" w:firstLineChars="128"/>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402590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7pt;height:0pt;width:450pt;z-index:251662336;mso-width-relative:page;mso-height-relative:page;" filled="f" stroked="t" coordsize="21600,21600" o:gfxdata="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5KGPUAAAABgEAAA8AAAAA&#10;AAAAAQAgAAAAIgAAAGRycy9kb3ducmV2LnhtbFBLAQIUABQAAAAIAIdO4kAQKwjJ3wEAAKQDAAAO&#10;AAAAAAAAAAEAIAAAACMBAABkcnMvZTJvRG9jLnhtbFBLBQYAAAAABgAGAFkBAAB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5pt;height:0pt;width:450pt;z-index:251662336;mso-width-relative:page;mso-height-relative:page;" filled="f" stroked="t" coordsize="21600,21600" o:gfxdata="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8M5z20QAAAAQBAAAPAAAAAAAAAAEA&#10;IAAAACIAAABkcnMvZG93bnJldi54bWxQSwECFAAUAAAACACHTuJAvx+ba90BAACkAwAADgAAAAAA&#10;AAABACAAAAAgAQAAZHJzL2Uyb0RvYy54bWxQSwUGAAAAAAYABgBZAQAAbwUAAAAA&#10;">
                <v:fill on="f" focussize="0,0"/>
                <v:stroke color="#000000" joinstyle="round"/>
                <v:imagedata o:title=""/>
                <o:lock v:ext="edit" aspectratio="f"/>
              </v:line>
            </w:pict>
          </mc:Fallback>
        </mc:AlternateContent>
      </w:r>
      <w:r>
        <w:rPr>
          <w:rFonts w:hint="eastAsia" w:ascii="仿宋_GB2312" w:eastAsia="仿宋_GB2312"/>
          <w:color w:val="000000"/>
          <w:sz w:val="28"/>
          <w:szCs w:val="28"/>
        </w:rPr>
        <w:t>莆田市人民政府教育督导</w:t>
      </w:r>
      <w:r>
        <w:rPr>
          <w:rFonts w:hint="eastAsia" w:ascii="仿宋_GB2312" w:eastAsia="仿宋_GB2312"/>
          <w:color w:val="000000"/>
          <w:sz w:val="28"/>
          <w:szCs w:val="28"/>
          <w:lang w:eastAsia="zh-CN"/>
        </w:rPr>
        <w:t>室</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201</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日印发</w:t>
      </w:r>
      <w:r>
        <w:rPr>
          <w:rFonts w:ascii="仿宋_GB2312" w:eastAsia="仿宋_GB2312"/>
          <w:color w:val="000000"/>
          <w:sz w:val="28"/>
          <w:szCs w:val="28"/>
        </w:rPr>
        <w:t xml:space="preserve"> </w:t>
      </w:r>
    </w:p>
    <w:sectPr>
      <w:headerReference r:id="rId3" w:type="default"/>
      <w:footerReference r:id="rId4" w:type="default"/>
      <w:footerReference r:id="rId5" w:type="even"/>
      <w:pgSz w:w="11906" w:h="16838"/>
      <w:pgMar w:top="1928" w:right="1474" w:bottom="1701" w:left="1588" w:header="964" w:footer="141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24BAC"/>
    <w:rsid w:val="0BD71422"/>
    <w:rsid w:val="1FE66A80"/>
    <w:rsid w:val="27C87314"/>
    <w:rsid w:val="3DD75630"/>
    <w:rsid w:val="3E024BAC"/>
    <w:rsid w:val="4DC65143"/>
    <w:rsid w:val="4EB318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2019-06-05T03:40:00Z</dcterms:created>
  <dc:creator>逸今</dc:creator>
  <cp:lastModifiedBy>逸今</cp:lastModifiedBy>
  <cp:lastPrinted>2019-06-05T10:10:00Z</cp:lastPrinted>
  <dcterms:modified xsi:type="dcterms:W3CDTF">2019-06-10T03:21:19Z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